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C767E0" w14:paraId="0263141B" w14:textId="77777777" w:rsidTr="007276CC">
        <w:tc>
          <w:tcPr>
            <w:tcW w:w="6237" w:type="dxa"/>
          </w:tcPr>
          <w:p w14:paraId="6FEB8409" w14:textId="77777777" w:rsidR="00227E10" w:rsidRDefault="009D60F9" w:rsidP="00227E10">
            <w:pPr>
              <w:pStyle w:val="Titel"/>
            </w:pPr>
            <w:r>
              <w:t>Press release</w:t>
            </w:r>
          </w:p>
          <w:p w14:paraId="393547DA" w14:textId="37C0CD52" w:rsidR="00227E10" w:rsidRPr="00227E10" w:rsidRDefault="00227E10" w:rsidP="00265ACE">
            <w:pPr>
              <w:pStyle w:val="Untertitel"/>
            </w:pPr>
            <w:r w:rsidRPr="00227E10">
              <w:fldChar w:fldCharType="begin"/>
            </w:r>
            <w:r w:rsidRPr="00227E10">
              <w:instrText xml:space="preserve"> CREATEDATE  \@ "dd.MM.yyyy"  \* MERGEFORMAT </w:instrText>
            </w:r>
            <w:r w:rsidRPr="00227E10">
              <w:fldChar w:fldCharType="separate"/>
            </w:r>
            <w:r w:rsidR="00227E2D">
              <w:rPr>
                <w:noProof/>
              </w:rPr>
              <w:t xml:space="preserve">June </w:t>
            </w:r>
            <w:r w:rsidR="00D90B3D">
              <w:rPr>
                <w:noProof/>
              </w:rPr>
              <w:t>2026</w:t>
            </w:r>
            <w:r w:rsidRPr="00227E10">
              <w:fldChar w:fldCharType="end"/>
            </w:r>
          </w:p>
        </w:tc>
        <w:tc>
          <w:tcPr>
            <w:tcW w:w="737" w:type="dxa"/>
          </w:tcPr>
          <w:p w14:paraId="4C125654" w14:textId="77777777" w:rsidR="00227E10" w:rsidRDefault="00227E10" w:rsidP="004A4939"/>
        </w:tc>
        <w:tc>
          <w:tcPr>
            <w:tcW w:w="2835" w:type="dxa"/>
          </w:tcPr>
          <w:p w14:paraId="7686B013" w14:textId="77777777" w:rsidR="00227E10" w:rsidRPr="007276CC" w:rsidRDefault="00227E10" w:rsidP="007276CC">
            <w:pPr>
              <w:pStyle w:val="Absender"/>
              <w:spacing w:before="100"/>
              <w:rPr>
                <w:b/>
              </w:rPr>
            </w:pPr>
            <w:r>
              <w:rPr>
                <w:b/>
              </w:rPr>
              <w:t>Further information about publication:</w:t>
            </w:r>
          </w:p>
          <w:p w14:paraId="281DC7C2" w14:textId="77777777" w:rsidR="00227E10" w:rsidRDefault="00227E10" w:rsidP="007276CC">
            <w:pPr>
              <w:pStyle w:val="Absender"/>
            </w:pPr>
            <w:r>
              <w:t>Schüco International KG</w:t>
            </w:r>
          </w:p>
          <w:p w14:paraId="198524E3" w14:textId="7524A055" w:rsidR="00227E10" w:rsidRDefault="00DF644A" w:rsidP="007276CC">
            <w:pPr>
              <w:pStyle w:val="Absender"/>
            </w:pPr>
            <w:r>
              <w:t>Ute Minartz</w:t>
            </w:r>
          </w:p>
          <w:p w14:paraId="23E4CFEA" w14:textId="31715214" w:rsidR="00227E10" w:rsidRDefault="00227E10" w:rsidP="007276CC">
            <w:pPr>
              <w:pStyle w:val="Absender"/>
            </w:pPr>
            <w:r>
              <w:t>Karolinenstr. 1 - 15</w:t>
            </w:r>
          </w:p>
          <w:p w14:paraId="1C09075F" w14:textId="77777777" w:rsidR="00227E10" w:rsidRDefault="00227E10" w:rsidP="007276CC">
            <w:pPr>
              <w:pStyle w:val="Absender"/>
            </w:pPr>
            <w:r>
              <w:t>33609 Bielefeld, Germany</w:t>
            </w:r>
          </w:p>
          <w:p w14:paraId="216C864E" w14:textId="21A24910" w:rsidR="00227E10" w:rsidRPr="004765FD" w:rsidRDefault="00227E10" w:rsidP="007276CC">
            <w:pPr>
              <w:pStyle w:val="Absender"/>
            </w:pPr>
            <w:r>
              <w:t>Tel.: +49 (0)521 783-6307</w:t>
            </w:r>
          </w:p>
          <w:p w14:paraId="6A195C02" w14:textId="77777777" w:rsidR="00227E10" w:rsidRPr="00A520A4" w:rsidRDefault="00227E10" w:rsidP="007276CC">
            <w:pPr>
              <w:pStyle w:val="Absender"/>
            </w:pPr>
            <w:r>
              <w:t>E-mail: PR@schueco.com</w:t>
            </w:r>
          </w:p>
          <w:p w14:paraId="69EB9928" w14:textId="4320A69F" w:rsidR="00227E10" w:rsidRPr="00A520A4" w:rsidRDefault="00A520A4" w:rsidP="007276CC">
            <w:pPr>
              <w:pStyle w:val="Absender"/>
            </w:pPr>
            <w:hyperlink r:id="rId8" w:history="1">
              <w:r>
                <w:rPr>
                  <w:rStyle w:val="Hyperlink"/>
                </w:rPr>
                <w:t>www.schueco.com/press</w:t>
              </w:r>
            </w:hyperlink>
          </w:p>
          <w:p w14:paraId="0E5F8AF8" w14:textId="77777777" w:rsidR="00A520A4" w:rsidRPr="00A520A4" w:rsidRDefault="00A520A4" w:rsidP="001144C6">
            <w:pPr>
              <w:pStyle w:val="Absender"/>
            </w:pPr>
            <w:r>
              <w:t>www.schueco.com/press</w:t>
            </w:r>
          </w:p>
        </w:tc>
      </w:tr>
    </w:tbl>
    <w:p w14:paraId="2E06F247" w14:textId="77777777" w:rsidR="00CC48E9" w:rsidRPr="00C1545D" w:rsidRDefault="00CC48E9" w:rsidP="005168F0">
      <w:pPr>
        <w:pStyle w:val="Titel"/>
        <w:spacing w:line="312" w:lineRule="auto"/>
        <w:rPr>
          <w:b/>
          <w:sz w:val="22"/>
          <w:szCs w:val="22"/>
          <w:lang w:val="fr-FR"/>
        </w:rPr>
      </w:pPr>
    </w:p>
    <w:p w14:paraId="4A90630D" w14:textId="244EF853" w:rsidR="0096612E" w:rsidRDefault="00635F04" w:rsidP="0096612E">
      <w:pPr>
        <w:pStyle w:val="Titel"/>
        <w:spacing w:line="312" w:lineRule="auto"/>
        <w:rPr>
          <w:b/>
          <w:sz w:val="28"/>
          <w:szCs w:val="28"/>
        </w:rPr>
      </w:pPr>
      <w:r>
        <w:rPr>
          <w:b/>
          <w:sz w:val="22"/>
        </w:rPr>
        <w:t>Forward-mounted – rear-ventilated – energy-generating:</w:t>
      </w:r>
    </w:p>
    <w:p w14:paraId="3952C619" w14:textId="069B571A" w:rsidR="0096612E" w:rsidRPr="00D90B3D" w:rsidRDefault="00BB4CEF" w:rsidP="0096612E">
      <w:pPr>
        <w:pStyle w:val="Titel"/>
        <w:spacing w:line="312" w:lineRule="auto"/>
        <w:rPr>
          <w:sz w:val="22"/>
          <w:lang w:val="de-DE"/>
        </w:rPr>
      </w:pPr>
      <w:r w:rsidRPr="00D90B3D">
        <w:rPr>
          <w:b/>
          <w:sz w:val="28"/>
          <w:lang w:val="de-DE"/>
        </w:rPr>
        <w:t>Schüco AF VC ventilated façade</w:t>
      </w:r>
    </w:p>
    <w:p w14:paraId="0FC10D9B" w14:textId="77777777" w:rsidR="00C14DC7" w:rsidRPr="00D90B3D" w:rsidRDefault="00C14DC7" w:rsidP="00C14DC7">
      <w:pPr>
        <w:spacing w:line="312" w:lineRule="auto"/>
        <w:rPr>
          <w:sz w:val="22"/>
          <w:lang w:val="de-DE"/>
        </w:rPr>
      </w:pPr>
    </w:p>
    <w:p w14:paraId="557E2C1A" w14:textId="06D3F2CD" w:rsidR="0096612E" w:rsidRDefault="0096612E" w:rsidP="0096612E">
      <w:pPr>
        <w:pStyle w:val="Intro"/>
        <w:spacing w:line="312" w:lineRule="auto"/>
        <w:rPr>
          <w:rFonts w:cs="Arial"/>
          <w:szCs w:val="22"/>
        </w:rPr>
      </w:pPr>
      <w:r w:rsidRPr="00D90B3D">
        <w:rPr>
          <w:b/>
          <w:lang w:val="de-DE"/>
        </w:rPr>
        <w:t xml:space="preserve">Bielefeld. </w:t>
      </w:r>
      <w:r>
        <w:rPr>
          <w:b/>
        </w:rPr>
        <w:t>When it comes to the decarbonisation of buildings, forward-mounted and rear-ventilated façades offer clear advantages – and not just because of their functional separation</w:t>
      </w:r>
      <w:r w:rsidR="004F717C">
        <w:rPr>
          <w:b/>
        </w:rPr>
        <w:t>.</w:t>
      </w:r>
      <w:r>
        <w:rPr>
          <w:b/>
        </w:rPr>
        <w:t xml:space="preserve"> The Schüco AF VC (Aluminium Façade Ventilated Construction) façade construction also enables the integration of Schüco BIPV (building-integrated photovoltaics) to generate your own energy and as a visual statement of energy efficiency and sustainable architecture. Furthermore, this C2C-certified façade system is well suited to both newbuilds and renovation projects. </w:t>
      </w:r>
    </w:p>
    <w:p w14:paraId="1FD6E999" w14:textId="77777777" w:rsidR="00943472" w:rsidRDefault="00943472" w:rsidP="0096612E">
      <w:pPr>
        <w:spacing w:line="312" w:lineRule="auto"/>
        <w:rPr>
          <w:rFonts w:cs="Arial"/>
          <w:sz w:val="22"/>
          <w:lang w:eastAsia="ar-SA"/>
        </w:rPr>
      </w:pPr>
    </w:p>
    <w:p w14:paraId="767C9D81" w14:textId="7CFB41E2" w:rsidR="00090EB9" w:rsidRDefault="00AE7771" w:rsidP="00D14A4A">
      <w:pPr>
        <w:spacing w:line="312" w:lineRule="auto"/>
        <w:rPr>
          <w:rFonts w:cs="Arial"/>
          <w:sz w:val="22"/>
        </w:rPr>
      </w:pPr>
      <w:r>
        <w:rPr>
          <w:sz w:val="22"/>
        </w:rPr>
        <w:t xml:space="preserve">Schüco AF VC is based on a mullion-transom substructure, which functions as a load-bearing frame and attaches the façade units securely to the building via brackets. This substructure consists of vertical mullions and horizontal transoms that are joined together by means of connectors. </w:t>
      </w:r>
      <w:r w:rsidR="003222F8">
        <w:rPr>
          <w:sz w:val="22"/>
        </w:rPr>
        <w:t>A range of different materials, colours and surface finishes allows virtually every requirement to be fulfilled, enabling</w:t>
      </w:r>
      <w:r w:rsidR="00A939A6">
        <w:rPr>
          <w:sz w:val="22"/>
        </w:rPr>
        <w:t xml:space="preserve"> not only</w:t>
      </w:r>
      <w:r w:rsidR="003222F8">
        <w:rPr>
          <w:sz w:val="22"/>
        </w:rPr>
        <w:t xml:space="preserve"> protection against weathering to be provided but also aesthetic and functional aims to be achieved with a single system. In this context, it is particularly important to mention the integration of Schüco BIPV modules as a design feature, as they offer the significant added benefit of generating your own energy</w:t>
      </w:r>
      <w:r w:rsidR="00496CBF">
        <w:rPr>
          <w:sz w:val="22"/>
        </w:rPr>
        <w:t xml:space="preserve"> directly</w:t>
      </w:r>
      <w:r w:rsidR="003222F8">
        <w:rPr>
          <w:sz w:val="22"/>
        </w:rPr>
        <w:t xml:space="preserve"> </w:t>
      </w:r>
      <w:r w:rsidR="00496CBF">
        <w:rPr>
          <w:sz w:val="22"/>
        </w:rPr>
        <w:t>with</w:t>
      </w:r>
      <w:r w:rsidR="003222F8">
        <w:rPr>
          <w:sz w:val="22"/>
        </w:rPr>
        <w:t>in the façade. Th</w:t>
      </w:r>
      <w:r w:rsidR="00190C9C">
        <w:rPr>
          <w:sz w:val="22"/>
        </w:rPr>
        <w:t>is helps to reduce</w:t>
      </w:r>
      <w:r w:rsidR="003222F8">
        <w:rPr>
          <w:sz w:val="22"/>
        </w:rPr>
        <w:t xml:space="preserve"> the operating costs and CO</w:t>
      </w:r>
      <w:r w:rsidR="003222F8">
        <w:rPr>
          <w:sz w:val="22"/>
          <w:vertAlign w:val="subscript"/>
        </w:rPr>
        <w:t>2</w:t>
      </w:r>
      <w:r w:rsidR="003222F8">
        <w:rPr>
          <w:sz w:val="22"/>
        </w:rPr>
        <w:t xml:space="preserve"> emissions of a building </w:t>
      </w:r>
      <w:r w:rsidR="00190C9C">
        <w:rPr>
          <w:sz w:val="22"/>
        </w:rPr>
        <w:t>for</w:t>
      </w:r>
      <w:r w:rsidR="003222F8">
        <w:rPr>
          <w:sz w:val="22"/>
        </w:rPr>
        <w:t xml:space="preserve"> the long term. Another benefit for all those involved in the project is that both constructions come from a single source and are precisely tailored to one another. </w:t>
      </w:r>
    </w:p>
    <w:p w14:paraId="50685699" w14:textId="77777777" w:rsidR="003D3AFE" w:rsidRDefault="003D3AFE" w:rsidP="00D14A4A">
      <w:pPr>
        <w:spacing w:line="312" w:lineRule="auto"/>
        <w:rPr>
          <w:rFonts w:cs="Arial"/>
          <w:sz w:val="22"/>
          <w:lang w:eastAsia="ar-SA"/>
        </w:rPr>
      </w:pPr>
    </w:p>
    <w:p w14:paraId="5B34298A" w14:textId="77777777" w:rsidR="00BA4C7C" w:rsidRDefault="00BA4C7C">
      <w:pPr>
        <w:spacing w:line="240" w:lineRule="auto"/>
        <w:rPr>
          <w:rFonts w:cs="Arial"/>
          <w:b/>
          <w:bCs/>
          <w:sz w:val="22"/>
        </w:rPr>
      </w:pPr>
      <w:r>
        <w:br w:type="page"/>
      </w:r>
    </w:p>
    <w:p w14:paraId="19355BBD" w14:textId="7E2E8F16" w:rsidR="003D3AFE" w:rsidRPr="003D3AFE" w:rsidRDefault="003D3AFE" w:rsidP="00D14A4A">
      <w:pPr>
        <w:spacing w:line="312" w:lineRule="auto"/>
        <w:rPr>
          <w:rFonts w:cs="Arial"/>
          <w:b/>
          <w:bCs/>
          <w:sz w:val="22"/>
        </w:rPr>
      </w:pPr>
      <w:r>
        <w:rPr>
          <w:b/>
          <w:sz w:val="22"/>
        </w:rPr>
        <w:lastRenderedPageBreak/>
        <w:t>Four design options</w:t>
      </w:r>
    </w:p>
    <w:p w14:paraId="404B7CE4" w14:textId="267C86C6" w:rsidR="003D3AFE" w:rsidRDefault="006067A9" w:rsidP="00D14A4A">
      <w:pPr>
        <w:spacing w:line="312" w:lineRule="auto"/>
        <w:rPr>
          <w:rFonts w:cs="Arial"/>
          <w:sz w:val="22"/>
        </w:rPr>
      </w:pPr>
      <w:r>
        <w:rPr>
          <w:sz w:val="22"/>
        </w:rPr>
        <w:t xml:space="preserve">Based on a single substructure system, the Schüco AF VC forward-mounted, rear-ventilated façade solution is available in the “concealed fixing”, “point fixing”, “full-frame fixing” and “two-sided fixing” design options. Schüco BIPV modules can be used with all four versions. </w:t>
      </w:r>
    </w:p>
    <w:p w14:paraId="6F2DFB16" w14:textId="77777777" w:rsidR="0008291F" w:rsidRDefault="0008291F" w:rsidP="008252F9">
      <w:pPr>
        <w:spacing w:line="312" w:lineRule="auto"/>
        <w:rPr>
          <w:rFonts w:cs="Arial"/>
          <w:sz w:val="22"/>
          <w:lang w:eastAsia="ar-SA"/>
        </w:rPr>
      </w:pPr>
    </w:p>
    <w:p w14:paraId="34FF82AB" w14:textId="4D4A2889" w:rsidR="00281424" w:rsidRDefault="008252F9" w:rsidP="00EC25F0">
      <w:pPr>
        <w:spacing w:line="312" w:lineRule="auto"/>
        <w:rPr>
          <w:sz w:val="22"/>
        </w:rPr>
      </w:pPr>
      <w:r>
        <w:rPr>
          <w:sz w:val="22"/>
        </w:rPr>
        <w:t>The “concealed fixing” option provides a high level of design freedom and can be used to create particularly elegant and uniform surfaces. The “point fixing” version is particularly well-suited to façades aiming to create a sleek, open appearance through individual, visible fixing points. The “full-frame fixing” design option is perfect for façades intended to stand out with a clean, geometric structure and a modern, uniform appearance. And the “two-sided fixing” version is ideal for the spandrel area below ribbon windows.</w:t>
      </w:r>
    </w:p>
    <w:p w14:paraId="1D81F876" w14:textId="49449B3C" w:rsidR="006C029E" w:rsidRDefault="006C029E" w:rsidP="008252F9">
      <w:pPr>
        <w:spacing w:line="312" w:lineRule="auto"/>
        <w:rPr>
          <w:rFonts w:cs="Arial"/>
          <w:sz w:val="22"/>
          <w:lang w:eastAsia="ar-SA"/>
        </w:rPr>
      </w:pPr>
    </w:p>
    <w:p w14:paraId="16F09B1A" w14:textId="1C93380E" w:rsidR="00615D0E" w:rsidRPr="00463C67" w:rsidRDefault="00497CB8" w:rsidP="003222F8">
      <w:pPr>
        <w:spacing w:line="312" w:lineRule="auto"/>
        <w:rPr>
          <w:rFonts w:cs="Arial"/>
          <w:b/>
          <w:bCs/>
          <w:sz w:val="22"/>
        </w:rPr>
      </w:pPr>
      <w:r>
        <w:rPr>
          <w:b/>
          <w:sz w:val="22"/>
        </w:rPr>
        <w:t>A wide variety of possible combinations</w:t>
      </w:r>
    </w:p>
    <w:p w14:paraId="5A73A72A" w14:textId="1B991E76" w:rsidR="00463C67" w:rsidRDefault="008E35BB" w:rsidP="00463C67">
      <w:pPr>
        <w:pStyle w:val="StandardWeb"/>
        <w:spacing w:before="0" w:beforeAutospacing="0" w:after="0" w:afterAutospacing="0" w:line="312" w:lineRule="auto"/>
        <w:rPr>
          <w:rFonts w:ascii="Arial" w:hAnsi="Arial"/>
          <w:color w:val="000000"/>
          <w:sz w:val="22"/>
          <w:szCs w:val="27"/>
        </w:rPr>
      </w:pPr>
      <w:r>
        <w:rPr>
          <w:rFonts w:ascii="Arial" w:hAnsi="Arial"/>
          <w:sz w:val="22"/>
        </w:rPr>
        <w:t xml:space="preserve">The Schüco AF VC ventilated façade system, which can be adapted to meet a range of different usage and design requirements, integrates seamlessly – both visually and technically – with Schüco non-ventilated façades, ribbon windows, windows or the Schüco Perfect modular all-in-one solution. </w:t>
      </w:r>
      <w:r w:rsidRPr="00AE1E02">
        <w:rPr>
          <w:rFonts w:ascii="Arial" w:hAnsi="Arial"/>
          <w:sz w:val="22"/>
        </w:rPr>
        <w:t xml:space="preserve">Schüco Perfect consists of a window unit and a façade-mounted </w:t>
      </w:r>
      <w:r w:rsidR="00CB28B0" w:rsidRPr="00AE1E02">
        <w:rPr>
          <w:rFonts w:ascii="Arial" w:hAnsi="Arial"/>
          <w:sz w:val="22"/>
        </w:rPr>
        <w:t>P</w:t>
      </w:r>
      <w:r w:rsidR="00CB28B0">
        <w:rPr>
          <w:rFonts w:ascii="Arial" w:hAnsi="Arial"/>
          <w:sz w:val="22"/>
        </w:rPr>
        <w:t>e</w:t>
      </w:r>
      <w:r w:rsidR="00CB28B0" w:rsidRPr="00AE1E02">
        <w:rPr>
          <w:rFonts w:ascii="Arial" w:hAnsi="Arial"/>
          <w:sz w:val="22"/>
        </w:rPr>
        <w:t>rfect</w:t>
      </w:r>
      <w:r w:rsidRPr="00AE1E02">
        <w:rPr>
          <w:rFonts w:ascii="Arial" w:hAnsi="Arial"/>
          <w:sz w:val="22"/>
        </w:rPr>
        <w:t xml:space="preserve"> module, for which various add-ons (sun shading, flyscreen, safety barrier, </w:t>
      </w:r>
      <w:proofErr w:type="gramStart"/>
      <w:r w:rsidRPr="00AE1E02">
        <w:rPr>
          <w:rFonts w:ascii="Arial" w:hAnsi="Arial"/>
          <w:sz w:val="22"/>
        </w:rPr>
        <w:t>window sills</w:t>
      </w:r>
      <w:proofErr w:type="gramEnd"/>
      <w:r w:rsidRPr="00AE1E02">
        <w:rPr>
          <w:rFonts w:ascii="Arial" w:hAnsi="Arial"/>
          <w:sz w:val="22"/>
        </w:rPr>
        <w:t>) can be selected.</w:t>
      </w:r>
      <w:r>
        <w:rPr>
          <w:rFonts w:ascii="Arial" w:hAnsi="Arial"/>
          <w:color w:val="444444"/>
          <w:sz w:val="22"/>
          <w:shd w:val="clear" w:color="auto" w:fill="FFFFFF"/>
        </w:rPr>
        <w:t xml:space="preserve"> </w:t>
      </w:r>
    </w:p>
    <w:p w14:paraId="55175717" w14:textId="77777777" w:rsidR="00463C67" w:rsidRDefault="00463C67" w:rsidP="00463C67">
      <w:pPr>
        <w:pStyle w:val="StandardWeb"/>
        <w:spacing w:before="0" w:beforeAutospacing="0" w:after="0" w:afterAutospacing="0" w:line="312" w:lineRule="auto"/>
        <w:rPr>
          <w:rFonts w:ascii="Arial" w:hAnsi="Arial"/>
          <w:color w:val="000000"/>
          <w:sz w:val="22"/>
          <w:szCs w:val="27"/>
        </w:rPr>
      </w:pPr>
    </w:p>
    <w:p w14:paraId="66844373" w14:textId="6C39B3B2" w:rsidR="0096612E" w:rsidRDefault="00E909FE" w:rsidP="0096612E">
      <w:pPr>
        <w:spacing w:line="312" w:lineRule="auto"/>
        <w:rPr>
          <w:rFonts w:cs="Arial"/>
          <w:sz w:val="22"/>
        </w:rPr>
      </w:pPr>
      <w:r>
        <w:rPr>
          <w:sz w:val="22"/>
        </w:rPr>
        <w:t>Some useful information: When used as part of a building renovation, the Schüco AF VC façade construction constitutes an individual measure that is eligible for subsidies – for example, for material or labour costs.</w:t>
      </w:r>
      <w:r w:rsidR="00CD57E4">
        <w:rPr>
          <w:sz w:val="22"/>
        </w:rPr>
        <w:t xml:space="preserve"> </w:t>
      </w:r>
      <w:r w:rsidR="00440AA6">
        <w:rPr>
          <w:sz w:val="22"/>
        </w:rPr>
        <w:t xml:space="preserve">The system also features low fabrication and installation work coupled with the extensive use of identical parts and minimal use of materials for the load-bearing structure. </w:t>
      </w:r>
    </w:p>
    <w:p w14:paraId="2DB55CB2" w14:textId="77777777" w:rsidR="00B929D1" w:rsidRDefault="00B929D1" w:rsidP="0096612E">
      <w:pPr>
        <w:spacing w:line="312" w:lineRule="auto"/>
        <w:rPr>
          <w:rFonts w:cs="Arial"/>
          <w:sz w:val="22"/>
          <w:lang w:eastAsia="ar-SA"/>
        </w:rPr>
      </w:pPr>
    </w:p>
    <w:p w14:paraId="3DDA2846" w14:textId="0AF0C0A3" w:rsidR="00B929D1" w:rsidRDefault="00B929D1" w:rsidP="0096612E">
      <w:pPr>
        <w:spacing w:line="312" w:lineRule="auto"/>
        <w:rPr>
          <w:rFonts w:cs="Arial"/>
          <w:sz w:val="22"/>
        </w:rPr>
      </w:pPr>
      <w:r>
        <w:rPr>
          <w:sz w:val="22"/>
        </w:rPr>
        <w:t>More detailed technical information about the façade system is available for design and architectural practices as well as specialist metal fabrication companies at www.schueco.de/af-vc.</w:t>
      </w:r>
    </w:p>
    <w:p w14:paraId="233E1AE5" w14:textId="77777777" w:rsidR="00991817" w:rsidRDefault="00991817" w:rsidP="00C1545D">
      <w:pPr>
        <w:spacing w:line="312" w:lineRule="auto"/>
        <w:rPr>
          <w:rFonts w:cs="Arial"/>
          <w:i/>
          <w:iCs/>
          <w:color w:val="FF0000"/>
          <w:sz w:val="22"/>
        </w:rPr>
      </w:pPr>
      <w:bookmarkStart w:id="0" w:name="_Hlk77926191"/>
    </w:p>
    <w:p w14:paraId="2DDFEFC8" w14:textId="77777777" w:rsidR="00214020" w:rsidRDefault="00214020" w:rsidP="00C1545D">
      <w:pPr>
        <w:spacing w:line="312" w:lineRule="auto"/>
        <w:rPr>
          <w:b/>
        </w:rPr>
      </w:pPr>
      <w:r>
        <w:rPr>
          <w:b/>
        </w:rPr>
        <w:br w:type="page"/>
      </w:r>
    </w:p>
    <w:p w14:paraId="5FFD7288" w14:textId="28B11E30" w:rsidR="00C1545D" w:rsidRPr="006B74EE" w:rsidRDefault="00C1545D" w:rsidP="00C1545D">
      <w:pPr>
        <w:spacing w:line="312" w:lineRule="auto"/>
        <w:rPr>
          <w:rFonts w:cs="Arial"/>
          <w:b/>
          <w:bCs/>
          <w:szCs w:val="18"/>
        </w:rPr>
      </w:pPr>
      <w:r>
        <w:rPr>
          <w:b/>
        </w:rPr>
        <w:lastRenderedPageBreak/>
        <w:t>Schüco – System solutions for windows, doors and façades</w:t>
      </w:r>
    </w:p>
    <w:p w14:paraId="72070608" w14:textId="119A3D07" w:rsidR="00C1545D" w:rsidRPr="006B74EE" w:rsidRDefault="00C1545D" w:rsidP="00C1545D">
      <w:pPr>
        <w:spacing w:line="312" w:lineRule="auto"/>
        <w:jc w:val="both"/>
        <w:rPr>
          <w:rFonts w:cs="Arial"/>
          <w:szCs w:val="18"/>
        </w:rPr>
      </w:pPr>
      <w:r>
        <w:t xml:space="preserve">Based in Bielefeld, the Schüco Group develops and sells system solutions made of aluminium, steel and PVC-U for the building envelope. The product portfolio includes window, door, façade, ventilation, security and sun shading systems, as well as intelligent networked solutions for residential and commercial projects. Schüco also provides consultancy and digital solutions for all phases of a building project – from the initial idea through to design, fabrication and installation, as well as after sales with maintenance and servicing. Fabrication machinery and customer-oriented service complement the product portfolio. As one of the leading companies in the construction industry, Schüco is committed to being a pioneer for comprehensive sustainability and to making an active contribution to climate neutrality and the circular economy within the construction sector through its products and services. Founded in 1951, Schüco is now active in more than 80 countries and achieved a turnover of 2.05 billion euros in 2024 with 6850 employees.  </w:t>
      </w:r>
      <w:bookmarkEnd w:id="0"/>
      <w:r>
        <w:t xml:space="preserve">For more information, visit </w:t>
      </w:r>
      <w:hyperlink r:id="rId9" w:history="1">
        <w:r>
          <w:t>www.schueco.com</w:t>
        </w:r>
      </w:hyperlink>
      <w:r>
        <w:t xml:space="preserve"> </w:t>
      </w:r>
    </w:p>
    <w:p w14:paraId="4845A466" w14:textId="77777777" w:rsidR="00C14DC7" w:rsidRDefault="00C14DC7" w:rsidP="00C14DC7">
      <w:pPr>
        <w:pStyle w:val="Kopfzeile"/>
        <w:tabs>
          <w:tab w:val="clear" w:pos="4513"/>
        </w:tabs>
        <w:spacing w:line="312" w:lineRule="auto"/>
        <w:rPr>
          <w:rFonts w:cs="Arial"/>
          <w:szCs w:val="18"/>
        </w:rPr>
      </w:pPr>
    </w:p>
    <w:p w14:paraId="61F1249F" w14:textId="77777777" w:rsidR="00463C67" w:rsidRDefault="00463C67" w:rsidP="00C14DC7">
      <w:pPr>
        <w:pStyle w:val="Kopfzeile"/>
        <w:tabs>
          <w:tab w:val="clear" w:pos="4513"/>
        </w:tabs>
        <w:spacing w:line="312" w:lineRule="auto"/>
        <w:rPr>
          <w:rFonts w:cs="Arial"/>
          <w:szCs w:val="18"/>
        </w:rPr>
      </w:pPr>
    </w:p>
    <w:p w14:paraId="33757DF6" w14:textId="77777777" w:rsidR="00463C67" w:rsidRDefault="00463C67" w:rsidP="00C14DC7">
      <w:pPr>
        <w:pStyle w:val="Kopfzeile"/>
        <w:tabs>
          <w:tab w:val="clear" w:pos="4513"/>
        </w:tabs>
        <w:spacing w:line="312" w:lineRule="auto"/>
        <w:rPr>
          <w:rFonts w:cs="Arial"/>
          <w:szCs w:val="18"/>
        </w:rPr>
      </w:pPr>
    </w:p>
    <w:p w14:paraId="09C25EC4" w14:textId="77777777" w:rsidR="00DB1CE4" w:rsidRDefault="00DB1CE4" w:rsidP="00C14DC7">
      <w:pPr>
        <w:pStyle w:val="Kopfzeile"/>
        <w:tabs>
          <w:tab w:val="clear" w:pos="4513"/>
        </w:tabs>
        <w:spacing w:line="312" w:lineRule="auto"/>
        <w:rPr>
          <w:rFonts w:cs="Arial"/>
          <w:szCs w:val="18"/>
        </w:rPr>
      </w:pPr>
    </w:p>
    <w:p w14:paraId="03DAF45A" w14:textId="77777777" w:rsidR="00DB1CE4" w:rsidRDefault="00DB1CE4" w:rsidP="00C14DC7">
      <w:pPr>
        <w:pStyle w:val="Kopfzeile"/>
        <w:tabs>
          <w:tab w:val="clear" w:pos="4513"/>
        </w:tabs>
        <w:spacing w:line="312" w:lineRule="auto"/>
        <w:rPr>
          <w:rFonts w:cs="Arial"/>
          <w:szCs w:val="18"/>
        </w:rPr>
      </w:pPr>
    </w:p>
    <w:p w14:paraId="6C663E09" w14:textId="77777777" w:rsidR="00D15BB8" w:rsidRDefault="00D15BB8" w:rsidP="00C14DC7">
      <w:pPr>
        <w:spacing w:line="312" w:lineRule="auto"/>
        <w:rPr>
          <w:sz w:val="22"/>
        </w:rPr>
      </w:pPr>
    </w:p>
    <w:p w14:paraId="67EEB56D" w14:textId="77777777" w:rsidR="00D15BB8" w:rsidRDefault="00D15BB8" w:rsidP="00C14DC7">
      <w:pPr>
        <w:spacing w:line="312" w:lineRule="auto"/>
        <w:rPr>
          <w:sz w:val="22"/>
        </w:rPr>
      </w:pPr>
    </w:p>
    <w:p w14:paraId="2F67B4B1" w14:textId="77777777" w:rsidR="00D15BB8" w:rsidRDefault="00D15BB8" w:rsidP="00C14DC7">
      <w:pPr>
        <w:spacing w:line="312" w:lineRule="auto"/>
        <w:rPr>
          <w:sz w:val="22"/>
        </w:rPr>
      </w:pPr>
    </w:p>
    <w:p w14:paraId="786554A8" w14:textId="77777777" w:rsidR="00E863C3" w:rsidRDefault="00E863C3" w:rsidP="00C14DC7">
      <w:pPr>
        <w:spacing w:line="312" w:lineRule="auto"/>
        <w:rPr>
          <w:sz w:val="22"/>
        </w:rPr>
      </w:pPr>
    </w:p>
    <w:p w14:paraId="21F941CB" w14:textId="77777777" w:rsidR="00E863C3" w:rsidRDefault="00E863C3" w:rsidP="00C14DC7">
      <w:pPr>
        <w:spacing w:line="312" w:lineRule="auto"/>
        <w:rPr>
          <w:sz w:val="22"/>
        </w:rPr>
      </w:pPr>
    </w:p>
    <w:p w14:paraId="11A8C145" w14:textId="77777777" w:rsidR="00E863C3" w:rsidRDefault="00E863C3" w:rsidP="00C14DC7">
      <w:pPr>
        <w:spacing w:line="312" w:lineRule="auto"/>
        <w:rPr>
          <w:sz w:val="22"/>
        </w:rPr>
      </w:pPr>
    </w:p>
    <w:p w14:paraId="794322CE" w14:textId="77777777" w:rsidR="00214020" w:rsidRDefault="00214020" w:rsidP="00C14DC7">
      <w:pPr>
        <w:spacing w:line="312" w:lineRule="auto"/>
        <w:rPr>
          <w:sz w:val="22"/>
        </w:rPr>
      </w:pPr>
    </w:p>
    <w:p w14:paraId="419E3CA4" w14:textId="3425FE44" w:rsidR="00C14DC7" w:rsidRPr="00610835" w:rsidRDefault="00C14DC7" w:rsidP="00C14DC7">
      <w:pPr>
        <w:spacing w:line="312" w:lineRule="auto"/>
        <w:rPr>
          <w:sz w:val="22"/>
        </w:rPr>
      </w:pPr>
      <w:r>
        <w:rPr>
          <w:sz w:val="22"/>
        </w:rPr>
        <w:t xml:space="preserve">High-resolution pictures are available to download in the Schüco Newsroom at </w:t>
      </w:r>
      <w:hyperlink r:id="rId10" w:history="1">
        <w:r>
          <w:rPr>
            <w:rStyle w:val="Hyperlink"/>
            <w:sz w:val="22"/>
          </w:rPr>
          <w:t>www.schueco.de/presse</w:t>
        </w:r>
      </w:hyperlink>
      <w:r>
        <w:rPr>
          <w:sz w:val="22"/>
        </w:rPr>
        <w:t>.</w:t>
      </w:r>
    </w:p>
    <w:p w14:paraId="6E8939B7" w14:textId="6B2A1F33" w:rsidR="00C14DC7" w:rsidRPr="00610835" w:rsidRDefault="00C14DC7" w:rsidP="00C14DC7">
      <w:pPr>
        <w:spacing w:line="312" w:lineRule="auto"/>
        <w:rPr>
          <w:sz w:val="22"/>
        </w:rPr>
      </w:pPr>
    </w:p>
    <w:p w14:paraId="40721792" w14:textId="77777777" w:rsidR="00E863C3" w:rsidRPr="004E5519" w:rsidRDefault="00E863C3" w:rsidP="00E863C3">
      <w:pPr>
        <w:spacing w:line="312" w:lineRule="auto"/>
        <w:rPr>
          <w:b/>
          <w:bCs/>
          <w:color w:val="FF0000"/>
          <w:sz w:val="22"/>
        </w:rPr>
      </w:pPr>
      <w:r>
        <w:rPr>
          <w:b/>
          <w:sz w:val="22"/>
        </w:rPr>
        <w:t>Picture credits: Schüco International KG</w:t>
      </w:r>
    </w:p>
    <w:p w14:paraId="73FF259C" w14:textId="77777777" w:rsidR="00E863C3" w:rsidRPr="0096612E" w:rsidRDefault="00E863C3" w:rsidP="00E863C3">
      <w:pPr>
        <w:spacing w:line="312" w:lineRule="auto"/>
        <w:rPr>
          <w:b/>
          <w:bCs/>
          <w:sz w:val="22"/>
        </w:rPr>
      </w:pPr>
      <w:r>
        <w:rPr>
          <w:noProof/>
        </w:rPr>
        <w:drawing>
          <wp:inline distT="0" distB="0" distL="0" distR="0" wp14:anchorId="69E5B492" wp14:editId="2C4D3B94">
            <wp:extent cx="2057400" cy="1438275"/>
            <wp:effectExtent l="0" t="0" r="0" b="9525"/>
            <wp:docPr id="17903944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438275"/>
                    </a:xfrm>
                    <a:prstGeom prst="rect">
                      <a:avLst/>
                    </a:prstGeom>
                    <a:noFill/>
                    <a:ln>
                      <a:noFill/>
                    </a:ln>
                  </pic:spPr>
                </pic:pic>
              </a:graphicData>
            </a:graphic>
          </wp:inline>
        </w:drawing>
      </w:r>
    </w:p>
    <w:p w14:paraId="1E52CF41" w14:textId="77777777" w:rsidR="00E863C3" w:rsidRPr="00B929D1" w:rsidRDefault="00E863C3" w:rsidP="00E863C3">
      <w:pPr>
        <w:pStyle w:val="Textkrper"/>
        <w:spacing w:line="312" w:lineRule="auto"/>
        <w:rPr>
          <w:sz w:val="22"/>
        </w:rPr>
      </w:pPr>
      <w:r>
        <w:rPr>
          <w:sz w:val="22"/>
        </w:rPr>
        <w:t xml:space="preserve">The Schüco AF VC forward-mounted, rear-ventilated façade protects against a range of weather influences, offers individual design options and utilises solar energy to generate power when coupled with the integration of Schüco BIPV modules. </w:t>
      </w:r>
    </w:p>
    <w:p w14:paraId="181EF33F" w14:textId="048E334E" w:rsidR="00C14DC7" w:rsidRPr="0096612E" w:rsidRDefault="00C14DC7" w:rsidP="0096612E">
      <w:pPr>
        <w:spacing w:line="312" w:lineRule="auto"/>
        <w:rPr>
          <w:sz w:val="22"/>
        </w:rPr>
      </w:pPr>
    </w:p>
    <w:p w14:paraId="7FE0379E" w14:textId="77777777" w:rsidR="00636448" w:rsidRPr="004E5519" w:rsidRDefault="00636448" w:rsidP="00636448">
      <w:pPr>
        <w:spacing w:line="312" w:lineRule="auto"/>
        <w:rPr>
          <w:b/>
          <w:bCs/>
          <w:color w:val="FF0000"/>
          <w:sz w:val="22"/>
        </w:rPr>
      </w:pPr>
      <w:r>
        <w:rPr>
          <w:b/>
          <w:sz w:val="22"/>
        </w:rPr>
        <w:lastRenderedPageBreak/>
        <w:t>Picture credits: Schüco International KG</w:t>
      </w:r>
    </w:p>
    <w:p w14:paraId="3560685A" w14:textId="77777777" w:rsidR="00D15BB8" w:rsidRDefault="00D15BB8" w:rsidP="00AD13AB">
      <w:pPr>
        <w:pStyle w:val="Textkrper"/>
        <w:spacing w:after="0" w:line="312" w:lineRule="auto"/>
        <w:rPr>
          <w:sz w:val="22"/>
        </w:rPr>
      </w:pPr>
      <w:r>
        <w:rPr>
          <w:noProof/>
        </w:rPr>
        <w:drawing>
          <wp:inline distT="0" distB="0" distL="0" distR="0" wp14:anchorId="454AA0E3" wp14:editId="6CB31722">
            <wp:extent cx="1440815" cy="1440815"/>
            <wp:effectExtent l="0" t="0" r="6985" b="6985"/>
            <wp:docPr id="10231233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inline>
        </w:drawing>
      </w:r>
    </w:p>
    <w:p w14:paraId="038184A7" w14:textId="24CDC67E" w:rsidR="003B4E48" w:rsidRDefault="00A8165B" w:rsidP="004B0B30">
      <w:pPr>
        <w:pStyle w:val="Textkrper"/>
        <w:spacing w:after="0" w:line="312" w:lineRule="auto"/>
        <w:rPr>
          <w:sz w:val="22"/>
        </w:rPr>
      </w:pPr>
      <w:r>
        <w:rPr>
          <w:sz w:val="22"/>
        </w:rPr>
        <w:t xml:space="preserve">Concealed fixing design option: Here the façade units are installed with no additional frame construction. The individual BIPV modules or infill units are attached directly to the mullion-transom construction by means of a backrail system; the fixing components are concealed and therefore lend the façade a flush appearance. </w:t>
      </w:r>
    </w:p>
    <w:p w14:paraId="045005FF" w14:textId="77777777" w:rsidR="00760E1E" w:rsidRDefault="00760E1E" w:rsidP="00AD13AB">
      <w:pPr>
        <w:pStyle w:val="Textkrper"/>
        <w:spacing w:line="312" w:lineRule="auto"/>
        <w:rPr>
          <w:sz w:val="22"/>
          <w:lang w:eastAsia="en-US"/>
        </w:rPr>
      </w:pPr>
    </w:p>
    <w:p w14:paraId="51718BBC" w14:textId="77777777" w:rsidR="00E863C3" w:rsidRDefault="00E863C3" w:rsidP="00AD13AB">
      <w:pPr>
        <w:pStyle w:val="Textkrper"/>
        <w:spacing w:line="312" w:lineRule="auto"/>
        <w:rPr>
          <w:sz w:val="22"/>
          <w:lang w:eastAsia="en-US"/>
        </w:rPr>
      </w:pPr>
    </w:p>
    <w:p w14:paraId="0D5FC1D6" w14:textId="77777777" w:rsidR="00E863C3" w:rsidRDefault="00E863C3" w:rsidP="00AD13AB">
      <w:pPr>
        <w:pStyle w:val="Textkrper"/>
        <w:spacing w:line="312" w:lineRule="auto"/>
        <w:rPr>
          <w:sz w:val="22"/>
          <w:lang w:eastAsia="en-US"/>
        </w:rPr>
      </w:pPr>
    </w:p>
    <w:p w14:paraId="40CFD30C" w14:textId="77777777" w:rsidR="00636448" w:rsidRPr="004E5519" w:rsidRDefault="00636448" w:rsidP="00636448">
      <w:pPr>
        <w:spacing w:line="312" w:lineRule="auto"/>
        <w:rPr>
          <w:b/>
          <w:bCs/>
          <w:color w:val="FF0000"/>
          <w:sz w:val="22"/>
        </w:rPr>
      </w:pPr>
      <w:r>
        <w:rPr>
          <w:b/>
          <w:sz w:val="22"/>
        </w:rPr>
        <w:t>Picture credits: Schüco International KG</w:t>
      </w:r>
    </w:p>
    <w:p w14:paraId="245C7C03" w14:textId="77777777" w:rsidR="00636448" w:rsidRDefault="00636448" w:rsidP="00760E1E">
      <w:pPr>
        <w:pStyle w:val="Textkrper"/>
        <w:spacing w:after="0" w:line="312" w:lineRule="auto"/>
        <w:rPr>
          <w:sz w:val="22"/>
        </w:rPr>
      </w:pPr>
      <w:r>
        <w:rPr>
          <w:noProof/>
        </w:rPr>
        <w:drawing>
          <wp:inline distT="0" distB="0" distL="0" distR="0" wp14:anchorId="6E344034" wp14:editId="3246CB8A">
            <wp:extent cx="1440815" cy="1440815"/>
            <wp:effectExtent l="0" t="0" r="6985" b="6985"/>
            <wp:docPr id="119273809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inline>
        </w:drawing>
      </w:r>
    </w:p>
    <w:p w14:paraId="3B8C47D2" w14:textId="30D37B44" w:rsidR="00760E1E" w:rsidRDefault="00760E1E" w:rsidP="004B0B30">
      <w:pPr>
        <w:pStyle w:val="Textkrper"/>
        <w:spacing w:after="0" w:line="312" w:lineRule="auto"/>
        <w:rPr>
          <w:sz w:val="22"/>
        </w:rPr>
      </w:pPr>
      <w:r>
        <w:rPr>
          <w:sz w:val="22"/>
        </w:rPr>
        <w:t>Point fixing design option: With this version, the façade units are fixed to the substructure by means of point fasteners. This type of fixing enables flexible and fast installation, without requiring a full frame.</w:t>
      </w:r>
    </w:p>
    <w:p w14:paraId="315C1D12" w14:textId="77777777" w:rsidR="00760E1E" w:rsidRDefault="00760E1E" w:rsidP="00AD13AB">
      <w:pPr>
        <w:pStyle w:val="Textkrper"/>
        <w:spacing w:line="312" w:lineRule="auto"/>
        <w:rPr>
          <w:sz w:val="22"/>
          <w:lang w:eastAsia="en-US"/>
        </w:rPr>
      </w:pPr>
    </w:p>
    <w:p w14:paraId="7FA95B4E" w14:textId="77777777" w:rsidR="00E863C3" w:rsidRDefault="00E863C3" w:rsidP="00760E1E">
      <w:pPr>
        <w:spacing w:line="312" w:lineRule="auto"/>
        <w:rPr>
          <w:b/>
          <w:bCs/>
          <w:sz w:val="22"/>
        </w:rPr>
      </w:pPr>
      <w:r>
        <w:br w:type="page"/>
      </w:r>
    </w:p>
    <w:p w14:paraId="10068425" w14:textId="4EFA9EC2" w:rsidR="00760E1E" w:rsidRPr="004E5519" w:rsidRDefault="00636448" w:rsidP="00760E1E">
      <w:pPr>
        <w:spacing w:line="312" w:lineRule="auto"/>
        <w:rPr>
          <w:b/>
          <w:bCs/>
          <w:color w:val="FF0000"/>
          <w:sz w:val="22"/>
        </w:rPr>
      </w:pPr>
      <w:r>
        <w:rPr>
          <w:b/>
          <w:sz w:val="22"/>
        </w:rPr>
        <w:lastRenderedPageBreak/>
        <w:t>Picture credits: Schüco International KG</w:t>
      </w:r>
    </w:p>
    <w:p w14:paraId="3E898BCD" w14:textId="77777777" w:rsidR="00636448" w:rsidRDefault="00636448" w:rsidP="00760E1E">
      <w:pPr>
        <w:pStyle w:val="Textkrper"/>
        <w:spacing w:after="0" w:line="312" w:lineRule="auto"/>
        <w:rPr>
          <w:sz w:val="22"/>
        </w:rPr>
      </w:pPr>
      <w:r>
        <w:rPr>
          <w:noProof/>
        </w:rPr>
        <w:drawing>
          <wp:inline distT="0" distB="0" distL="0" distR="0" wp14:anchorId="6C2164EE" wp14:editId="06B6D1F2">
            <wp:extent cx="1440815" cy="1440815"/>
            <wp:effectExtent l="0" t="0" r="6985" b="6985"/>
            <wp:docPr id="15175180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inline>
        </w:drawing>
      </w:r>
      <w:r>
        <w:rPr>
          <w:sz w:val="22"/>
        </w:rPr>
        <w:t xml:space="preserve"> </w:t>
      </w:r>
    </w:p>
    <w:p w14:paraId="22A42EAA" w14:textId="1B891327" w:rsidR="00760E1E" w:rsidRDefault="00760E1E" w:rsidP="004B0B30">
      <w:pPr>
        <w:pStyle w:val="Textkrper"/>
        <w:spacing w:after="0" w:line="312" w:lineRule="auto"/>
        <w:rPr>
          <w:sz w:val="22"/>
        </w:rPr>
      </w:pPr>
      <w:r>
        <w:rPr>
          <w:sz w:val="22"/>
        </w:rPr>
        <w:t xml:space="preserve">Full-frame fixing design option: With this version, infill units or BIPV modules are set in a stable frame, which holds the units securely in place. The frame is made from aluminium and ensures the precise fixing of the infill units and an even distribution of the load. </w:t>
      </w:r>
    </w:p>
    <w:p w14:paraId="3B221B6C" w14:textId="77777777" w:rsidR="00760E1E" w:rsidRDefault="00760E1E" w:rsidP="00AD13AB">
      <w:pPr>
        <w:pStyle w:val="Textkrper"/>
        <w:spacing w:line="312" w:lineRule="auto"/>
        <w:rPr>
          <w:sz w:val="22"/>
          <w:lang w:eastAsia="en-US"/>
        </w:rPr>
      </w:pPr>
    </w:p>
    <w:p w14:paraId="3DC89A42" w14:textId="77777777" w:rsidR="00214020" w:rsidRDefault="00214020" w:rsidP="00AD13AB">
      <w:pPr>
        <w:pStyle w:val="Textkrper"/>
        <w:spacing w:line="312" w:lineRule="auto"/>
        <w:rPr>
          <w:sz w:val="22"/>
          <w:lang w:eastAsia="en-US"/>
        </w:rPr>
      </w:pPr>
    </w:p>
    <w:p w14:paraId="71D2D8B0" w14:textId="77777777" w:rsidR="00636448" w:rsidRPr="004E5519" w:rsidRDefault="00636448" w:rsidP="00636448">
      <w:pPr>
        <w:spacing w:line="312" w:lineRule="auto"/>
        <w:rPr>
          <w:b/>
          <w:bCs/>
          <w:color w:val="FF0000"/>
          <w:sz w:val="22"/>
        </w:rPr>
      </w:pPr>
      <w:r>
        <w:rPr>
          <w:b/>
          <w:sz w:val="22"/>
        </w:rPr>
        <w:t>Picture credits: Schüco International KG</w:t>
      </w:r>
    </w:p>
    <w:p w14:paraId="7BA0D06E" w14:textId="77777777" w:rsidR="00D15BB8" w:rsidRDefault="00D15BB8" w:rsidP="00760E1E">
      <w:pPr>
        <w:pStyle w:val="Textkrper"/>
        <w:spacing w:after="0" w:line="312" w:lineRule="auto"/>
        <w:rPr>
          <w:sz w:val="22"/>
        </w:rPr>
      </w:pPr>
      <w:r>
        <w:rPr>
          <w:noProof/>
        </w:rPr>
        <w:drawing>
          <wp:inline distT="0" distB="0" distL="0" distR="0" wp14:anchorId="147D42DE" wp14:editId="623EE398">
            <wp:extent cx="1440815" cy="1440815"/>
            <wp:effectExtent l="0" t="0" r="6985" b="6985"/>
            <wp:docPr id="94372324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inline>
        </w:drawing>
      </w:r>
    </w:p>
    <w:p w14:paraId="01274AEE" w14:textId="7114AB1B" w:rsidR="00760E1E" w:rsidRDefault="00760E1E" w:rsidP="004B0B30">
      <w:pPr>
        <w:pStyle w:val="Textkrper"/>
        <w:spacing w:after="0" w:line="312" w:lineRule="auto"/>
        <w:rPr>
          <w:sz w:val="22"/>
        </w:rPr>
      </w:pPr>
      <w:r>
        <w:rPr>
          <w:sz w:val="22"/>
        </w:rPr>
        <w:t>Two-sided fixing design option: For this, infill units or BIPV modules are held in place by aluminium strips on two sides arranged in a linear pattern. These bars running horizontally are fixed to the substructure. This type of fixing enables flexible and fast installation</w:t>
      </w:r>
      <w:r w:rsidR="004F57C8">
        <w:rPr>
          <w:sz w:val="22"/>
        </w:rPr>
        <w:t xml:space="preserve"> of</w:t>
      </w:r>
      <w:r>
        <w:rPr>
          <w:sz w:val="22"/>
        </w:rPr>
        <w:t xml:space="preserve"> the panels/modules, without requiring a full frame. </w:t>
      </w:r>
    </w:p>
    <w:p w14:paraId="6A4E6CB8" w14:textId="77777777" w:rsidR="003B4E48" w:rsidRDefault="003B4E48" w:rsidP="00AD13AB">
      <w:pPr>
        <w:pStyle w:val="Textkrper"/>
        <w:spacing w:line="312" w:lineRule="auto"/>
        <w:rPr>
          <w:sz w:val="22"/>
          <w:lang w:eastAsia="en-US"/>
        </w:rPr>
      </w:pPr>
    </w:p>
    <w:sectPr w:rsidR="003B4E48" w:rsidSect="007A7037">
      <w:headerReference w:type="default" r:id="rId16"/>
      <w:footerReference w:type="default" r:id="rId17"/>
      <w:headerReference w:type="first" r:id="rId18"/>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D60A" w14:textId="77777777" w:rsidR="006809AB" w:rsidRDefault="006809AB" w:rsidP="00F958EA">
      <w:pPr>
        <w:spacing w:line="240" w:lineRule="auto"/>
      </w:pPr>
      <w:r>
        <w:separator/>
      </w:r>
    </w:p>
  </w:endnote>
  <w:endnote w:type="continuationSeparator" w:id="0">
    <w:p w14:paraId="3BB24975" w14:textId="77777777" w:rsidR="006809AB" w:rsidRDefault="006809AB"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for Schueco 330 Light">
    <w:altName w:val="Arial"/>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E40" w14:textId="77777777" w:rsidR="001A3597" w:rsidRDefault="001A3597">
    <w:pPr>
      <w:pStyle w:val="Fuzeile"/>
    </w:pPr>
    <w:r>
      <w:fldChar w:fldCharType="begin"/>
    </w:r>
    <w:r>
      <w:instrText xml:space="preserve"> PAGE  \* Arabic  \* MERGEFORMAT </w:instrText>
    </w:r>
    <w:r>
      <w:fldChar w:fldCharType="separate"/>
    </w:r>
    <w:r w:rsidR="00265ACE">
      <w:t>2</w:t>
    </w:r>
    <w:r>
      <w:fldChar w:fldCharType="end"/>
    </w:r>
    <w:r>
      <w:t>/</w:t>
    </w:r>
    <w:fldSimple w:instr=" NUMPAGES  \* Arabic  \* MERGEFORMAT ">
      <w:r w:rsidR="00265AC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63D6" w14:textId="77777777" w:rsidR="006809AB" w:rsidRDefault="006809AB" w:rsidP="00F958EA">
      <w:pPr>
        <w:spacing w:line="240" w:lineRule="auto"/>
      </w:pPr>
      <w:r>
        <w:separator/>
      </w:r>
    </w:p>
  </w:footnote>
  <w:footnote w:type="continuationSeparator" w:id="0">
    <w:p w14:paraId="1D280DEB" w14:textId="77777777" w:rsidR="006809AB" w:rsidRDefault="006809AB" w:rsidP="00F95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080" w14:textId="77777777" w:rsidR="00B370AA" w:rsidRDefault="00AA7002">
    <w:pPr>
      <w:pStyle w:val="Kopfzeile"/>
    </w:pPr>
    <w:r>
      <w:rPr>
        <w:noProof/>
      </w:rPr>
      <w:drawing>
        <wp:anchor distT="0" distB="0" distL="114300" distR="114300" simplePos="0" relativeHeight="251657216"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4967077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95" w14:textId="77777777" w:rsidR="00B370AA" w:rsidRDefault="00AA7002" w:rsidP="00EB32BD">
    <w:pPr>
      <w:pStyle w:val="Kopfzeile"/>
    </w:pPr>
    <w:r>
      <w:rPr>
        <w:noProof/>
      </w:rPr>
      <w:drawing>
        <wp:anchor distT="0" distB="0" distL="114300" distR="114300" simplePos="0" relativeHeight="251658240"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8027690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7B8D"/>
    <w:multiLevelType w:val="multilevel"/>
    <w:tmpl w:val="455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2"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5" w15:restartNumberingAfterBreak="0">
    <w:nsid w:val="6A697B17"/>
    <w:multiLevelType w:val="hybridMultilevel"/>
    <w:tmpl w:val="D06C5D00"/>
    <w:lvl w:ilvl="0" w:tplc="70107AB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242328040">
    <w:abstractNumId w:val="2"/>
  </w:num>
  <w:num w:numId="2" w16cid:durableId="2122021073">
    <w:abstractNumId w:val="6"/>
  </w:num>
  <w:num w:numId="3" w16cid:durableId="1851672928">
    <w:abstractNumId w:val="3"/>
  </w:num>
  <w:num w:numId="4" w16cid:durableId="470366632">
    <w:abstractNumId w:val="1"/>
  </w:num>
  <w:num w:numId="5" w16cid:durableId="333531592">
    <w:abstractNumId w:val="4"/>
  </w:num>
  <w:num w:numId="6" w16cid:durableId="1235319670">
    <w:abstractNumId w:val="5"/>
  </w:num>
  <w:num w:numId="7" w16cid:durableId="17157357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86177463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1A1A"/>
    <w:rsid w:val="00002B56"/>
    <w:rsid w:val="000243D1"/>
    <w:rsid w:val="00024ACE"/>
    <w:rsid w:val="0002638B"/>
    <w:rsid w:val="000301D8"/>
    <w:rsid w:val="00031E3A"/>
    <w:rsid w:val="00040810"/>
    <w:rsid w:val="00041625"/>
    <w:rsid w:val="00042BCE"/>
    <w:rsid w:val="00051401"/>
    <w:rsid w:val="00054A43"/>
    <w:rsid w:val="00055CD5"/>
    <w:rsid w:val="000624E1"/>
    <w:rsid w:val="000641F1"/>
    <w:rsid w:val="00071504"/>
    <w:rsid w:val="00073518"/>
    <w:rsid w:val="00074B30"/>
    <w:rsid w:val="00080BE4"/>
    <w:rsid w:val="0008291F"/>
    <w:rsid w:val="000830AE"/>
    <w:rsid w:val="00083752"/>
    <w:rsid w:val="000843C5"/>
    <w:rsid w:val="00090EB9"/>
    <w:rsid w:val="0009300A"/>
    <w:rsid w:val="00094253"/>
    <w:rsid w:val="00094EB3"/>
    <w:rsid w:val="00094F99"/>
    <w:rsid w:val="000A2665"/>
    <w:rsid w:val="000A5C26"/>
    <w:rsid w:val="000A5E24"/>
    <w:rsid w:val="000B4E4B"/>
    <w:rsid w:val="000C299E"/>
    <w:rsid w:val="000E6108"/>
    <w:rsid w:val="000E639A"/>
    <w:rsid w:val="000E65D2"/>
    <w:rsid w:val="000E6871"/>
    <w:rsid w:val="000F3DD7"/>
    <w:rsid w:val="001051B8"/>
    <w:rsid w:val="00113D9B"/>
    <w:rsid w:val="001144C6"/>
    <w:rsid w:val="0011455F"/>
    <w:rsid w:val="00115275"/>
    <w:rsid w:val="00125663"/>
    <w:rsid w:val="00131804"/>
    <w:rsid w:val="0013352E"/>
    <w:rsid w:val="00140913"/>
    <w:rsid w:val="001439BA"/>
    <w:rsid w:val="00144369"/>
    <w:rsid w:val="00145BFC"/>
    <w:rsid w:val="00153C9D"/>
    <w:rsid w:val="00175C50"/>
    <w:rsid w:val="0018293F"/>
    <w:rsid w:val="00183DB4"/>
    <w:rsid w:val="00186781"/>
    <w:rsid w:val="00186E5A"/>
    <w:rsid w:val="00190C9C"/>
    <w:rsid w:val="00191315"/>
    <w:rsid w:val="001A28F4"/>
    <w:rsid w:val="001A3597"/>
    <w:rsid w:val="001A59C9"/>
    <w:rsid w:val="001A6CC0"/>
    <w:rsid w:val="001A6FC3"/>
    <w:rsid w:val="001B2B07"/>
    <w:rsid w:val="001C4E5A"/>
    <w:rsid w:val="001C5624"/>
    <w:rsid w:val="001C6FAC"/>
    <w:rsid w:val="001C71CC"/>
    <w:rsid w:val="001D290C"/>
    <w:rsid w:val="001F1074"/>
    <w:rsid w:val="001F11C3"/>
    <w:rsid w:val="001F1716"/>
    <w:rsid w:val="001F2065"/>
    <w:rsid w:val="001F7A93"/>
    <w:rsid w:val="002018DC"/>
    <w:rsid w:val="0021268C"/>
    <w:rsid w:val="00214020"/>
    <w:rsid w:val="002176B8"/>
    <w:rsid w:val="00221120"/>
    <w:rsid w:val="00225FF0"/>
    <w:rsid w:val="00227E10"/>
    <w:rsid w:val="00227E2D"/>
    <w:rsid w:val="00230452"/>
    <w:rsid w:val="00230779"/>
    <w:rsid w:val="00236391"/>
    <w:rsid w:val="0024327E"/>
    <w:rsid w:val="0024782A"/>
    <w:rsid w:val="00247D5B"/>
    <w:rsid w:val="00252D6E"/>
    <w:rsid w:val="00254BAE"/>
    <w:rsid w:val="00265ACE"/>
    <w:rsid w:val="00275B16"/>
    <w:rsid w:val="002762A8"/>
    <w:rsid w:val="00281424"/>
    <w:rsid w:val="00284CF1"/>
    <w:rsid w:val="00290E83"/>
    <w:rsid w:val="002911E7"/>
    <w:rsid w:val="002B211F"/>
    <w:rsid w:val="002B7D28"/>
    <w:rsid w:val="002E0031"/>
    <w:rsid w:val="002E0D87"/>
    <w:rsid w:val="002E3613"/>
    <w:rsid w:val="002E65C2"/>
    <w:rsid w:val="002F3983"/>
    <w:rsid w:val="00305F21"/>
    <w:rsid w:val="003112ED"/>
    <w:rsid w:val="003222F8"/>
    <w:rsid w:val="003312EB"/>
    <w:rsid w:val="00332231"/>
    <w:rsid w:val="00335B10"/>
    <w:rsid w:val="00337E7E"/>
    <w:rsid w:val="0034063B"/>
    <w:rsid w:val="003422B2"/>
    <w:rsid w:val="003442BA"/>
    <w:rsid w:val="003471F7"/>
    <w:rsid w:val="003546E2"/>
    <w:rsid w:val="00366A18"/>
    <w:rsid w:val="00367473"/>
    <w:rsid w:val="0037157E"/>
    <w:rsid w:val="00371ABE"/>
    <w:rsid w:val="00372BC8"/>
    <w:rsid w:val="003855FF"/>
    <w:rsid w:val="00391AF8"/>
    <w:rsid w:val="003A46F2"/>
    <w:rsid w:val="003B4E48"/>
    <w:rsid w:val="003C0B27"/>
    <w:rsid w:val="003C1C27"/>
    <w:rsid w:val="003C3118"/>
    <w:rsid w:val="003D3AFE"/>
    <w:rsid w:val="003E0B2A"/>
    <w:rsid w:val="003E1A7D"/>
    <w:rsid w:val="003E5ACC"/>
    <w:rsid w:val="003F280C"/>
    <w:rsid w:val="003F2DCC"/>
    <w:rsid w:val="003F56F4"/>
    <w:rsid w:val="00400E95"/>
    <w:rsid w:val="0040727A"/>
    <w:rsid w:val="00413635"/>
    <w:rsid w:val="00417BFB"/>
    <w:rsid w:val="00421006"/>
    <w:rsid w:val="00431009"/>
    <w:rsid w:val="00433486"/>
    <w:rsid w:val="00440AA6"/>
    <w:rsid w:val="00444D4D"/>
    <w:rsid w:val="00445B24"/>
    <w:rsid w:val="00445D7F"/>
    <w:rsid w:val="00461334"/>
    <w:rsid w:val="00461937"/>
    <w:rsid w:val="00463C67"/>
    <w:rsid w:val="00470ABC"/>
    <w:rsid w:val="004765FD"/>
    <w:rsid w:val="00494F5B"/>
    <w:rsid w:val="00496CBF"/>
    <w:rsid w:val="004975ED"/>
    <w:rsid w:val="00497CB8"/>
    <w:rsid w:val="004A4939"/>
    <w:rsid w:val="004B0B30"/>
    <w:rsid w:val="004B3B23"/>
    <w:rsid w:val="004C0725"/>
    <w:rsid w:val="004C507E"/>
    <w:rsid w:val="004D5B84"/>
    <w:rsid w:val="004D5FF8"/>
    <w:rsid w:val="004D7A4A"/>
    <w:rsid w:val="004E33D8"/>
    <w:rsid w:val="004E347D"/>
    <w:rsid w:val="004E5519"/>
    <w:rsid w:val="004F1C77"/>
    <w:rsid w:val="004F2161"/>
    <w:rsid w:val="004F241B"/>
    <w:rsid w:val="004F35BF"/>
    <w:rsid w:val="004F540D"/>
    <w:rsid w:val="004F56E3"/>
    <w:rsid w:val="004F57C8"/>
    <w:rsid w:val="004F717C"/>
    <w:rsid w:val="00514E18"/>
    <w:rsid w:val="005168F0"/>
    <w:rsid w:val="005220F0"/>
    <w:rsid w:val="005262EA"/>
    <w:rsid w:val="00530360"/>
    <w:rsid w:val="005303A4"/>
    <w:rsid w:val="00534F50"/>
    <w:rsid w:val="0054107C"/>
    <w:rsid w:val="005577AA"/>
    <w:rsid w:val="00560DFD"/>
    <w:rsid w:val="005777CC"/>
    <w:rsid w:val="0058361A"/>
    <w:rsid w:val="00590284"/>
    <w:rsid w:val="00593611"/>
    <w:rsid w:val="0059436A"/>
    <w:rsid w:val="00596D59"/>
    <w:rsid w:val="005A0735"/>
    <w:rsid w:val="005A24FE"/>
    <w:rsid w:val="005A37EF"/>
    <w:rsid w:val="005A4897"/>
    <w:rsid w:val="005B2A78"/>
    <w:rsid w:val="005B3834"/>
    <w:rsid w:val="005C2AC5"/>
    <w:rsid w:val="005D3F43"/>
    <w:rsid w:val="005D5BE2"/>
    <w:rsid w:val="005E5091"/>
    <w:rsid w:val="005F0DEC"/>
    <w:rsid w:val="005F20B2"/>
    <w:rsid w:val="006067A9"/>
    <w:rsid w:val="00606851"/>
    <w:rsid w:val="0061040B"/>
    <w:rsid w:val="00610835"/>
    <w:rsid w:val="00615D0E"/>
    <w:rsid w:val="00617AF9"/>
    <w:rsid w:val="00623064"/>
    <w:rsid w:val="00626F6A"/>
    <w:rsid w:val="00630A11"/>
    <w:rsid w:val="006336A3"/>
    <w:rsid w:val="0063571A"/>
    <w:rsid w:val="00635F04"/>
    <w:rsid w:val="00636448"/>
    <w:rsid w:val="0063779F"/>
    <w:rsid w:val="0064531F"/>
    <w:rsid w:val="006457DB"/>
    <w:rsid w:val="0065091F"/>
    <w:rsid w:val="006578B1"/>
    <w:rsid w:val="006712DC"/>
    <w:rsid w:val="00674031"/>
    <w:rsid w:val="006809AB"/>
    <w:rsid w:val="00687074"/>
    <w:rsid w:val="00693E70"/>
    <w:rsid w:val="00694B7D"/>
    <w:rsid w:val="006B1F00"/>
    <w:rsid w:val="006B2810"/>
    <w:rsid w:val="006B380A"/>
    <w:rsid w:val="006C029E"/>
    <w:rsid w:val="006C583C"/>
    <w:rsid w:val="006D5606"/>
    <w:rsid w:val="006D5F16"/>
    <w:rsid w:val="006E0E64"/>
    <w:rsid w:val="006E42B7"/>
    <w:rsid w:val="006F37E2"/>
    <w:rsid w:val="006F50AD"/>
    <w:rsid w:val="006F6085"/>
    <w:rsid w:val="00701B3A"/>
    <w:rsid w:val="00704833"/>
    <w:rsid w:val="007074FA"/>
    <w:rsid w:val="00711CBA"/>
    <w:rsid w:val="00721836"/>
    <w:rsid w:val="00723D0C"/>
    <w:rsid w:val="007276CC"/>
    <w:rsid w:val="0074352F"/>
    <w:rsid w:val="00746AF1"/>
    <w:rsid w:val="007565CC"/>
    <w:rsid w:val="00760E1E"/>
    <w:rsid w:val="007651BA"/>
    <w:rsid w:val="00766D56"/>
    <w:rsid w:val="007673B4"/>
    <w:rsid w:val="007715D1"/>
    <w:rsid w:val="007717EB"/>
    <w:rsid w:val="007731F8"/>
    <w:rsid w:val="00786D5C"/>
    <w:rsid w:val="00790DF3"/>
    <w:rsid w:val="007A1939"/>
    <w:rsid w:val="007A2EDB"/>
    <w:rsid w:val="007A31A8"/>
    <w:rsid w:val="007A496E"/>
    <w:rsid w:val="007A5FD5"/>
    <w:rsid w:val="007A7037"/>
    <w:rsid w:val="007B77AF"/>
    <w:rsid w:val="007D31B2"/>
    <w:rsid w:val="007D3C38"/>
    <w:rsid w:val="007E3C35"/>
    <w:rsid w:val="007F0D21"/>
    <w:rsid w:val="007F23F0"/>
    <w:rsid w:val="008067CE"/>
    <w:rsid w:val="00816A4D"/>
    <w:rsid w:val="008252F9"/>
    <w:rsid w:val="0082725D"/>
    <w:rsid w:val="008304B6"/>
    <w:rsid w:val="00836DAB"/>
    <w:rsid w:val="00847ED3"/>
    <w:rsid w:val="00850E55"/>
    <w:rsid w:val="00855372"/>
    <w:rsid w:val="00856878"/>
    <w:rsid w:val="008615B3"/>
    <w:rsid w:val="00871C59"/>
    <w:rsid w:val="00882012"/>
    <w:rsid w:val="008820E7"/>
    <w:rsid w:val="00884DE9"/>
    <w:rsid w:val="00884FFA"/>
    <w:rsid w:val="00885159"/>
    <w:rsid w:val="00891E30"/>
    <w:rsid w:val="008955A8"/>
    <w:rsid w:val="008A356E"/>
    <w:rsid w:val="008A7602"/>
    <w:rsid w:val="008C28D7"/>
    <w:rsid w:val="008D6CD6"/>
    <w:rsid w:val="008E35BB"/>
    <w:rsid w:val="008E4B7D"/>
    <w:rsid w:val="008F14C2"/>
    <w:rsid w:val="008F302C"/>
    <w:rsid w:val="008F4364"/>
    <w:rsid w:val="00900A75"/>
    <w:rsid w:val="00903553"/>
    <w:rsid w:val="00910D50"/>
    <w:rsid w:val="009120EE"/>
    <w:rsid w:val="009216C4"/>
    <w:rsid w:val="00923774"/>
    <w:rsid w:val="009250DC"/>
    <w:rsid w:val="00926846"/>
    <w:rsid w:val="00943472"/>
    <w:rsid w:val="00943BB1"/>
    <w:rsid w:val="00950024"/>
    <w:rsid w:val="009505D2"/>
    <w:rsid w:val="00950F6B"/>
    <w:rsid w:val="0095168E"/>
    <w:rsid w:val="0095712B"/>
    <w:rsid w:val="00963E03"/>
    <w:rsid w:val="0096612E"/>
    <w:rsid w:val="00970413"/>
    <w:rsid w:val="00970D69"/>
    <w:rsid w:val="009745CA"/>
    <w:rsid w:val="009757CA"/>
    <w:rsid w:val="00991817"/>
    <w:rsid w:val="00993209"/>
    <w:rsid w:val="00994581"/>
    <w:rsid w:val="009957D5"/>
    <w:rsid w:val="009A187D"/>
    <w:rsid w:val="009B20B6"/>
    <w:rsid w:val="009B20C2"/>
    <w:rsid w:val="009B2BB7"/>
    <w:rsid w:val="009B37F3"/>
    <w:rsid w:val="009C2953"/>
    <w:rsid w:val="009C2FD1"/>
    <w:rsid w:val="009D5A35"/>
    <w:rsid w:val="009D60F9"/>
    <w:rsid w:val="009E2C9D"/>
    <w:rsid w:val="009E3485"/>
    <w:rsid w:val="009E59BA"/>
    <w:rsid w:val="009E61AC"/>
    <w:rsid w:val="009F14F6"/>
    <w:rsid w:val="009F4614"/>
    <w:rsid w:val="009F61FB"/>
    <w:rsid w:val="00A06231"/>
    <w:rsid w:val="00A1070C"/>
    <w:rsid w:val="00A114DC"/>
    <w:rsid w:val="00A27245"/>
    <w:rsid w:val="00A3093D"/>
    <w:rsid w:val="00A34477"/>
    <w:rsid w:val="00A34AC2"/>
    <w:rsid w:val="00A40B3D"/>
    <w:rsid w:val="00A4192A"/>
    <w:rsid w:val="00A4223F"/>
    <w:rsid w:val="00A46B66"/>
    <w:rsid w:val="00A51720"/>
    <w:rsid w:val="00A520A4"/>
    <w:rsid w:val="00A55D56"/>
    <w:rsid w:val="00A627BF"/>
    <w:rsid w:val="00A6732B"/>
    <w:rsid w:val="00A70010"/>
    <w:rsid w:val="00A8165B"/>
    <w:rsid w:val="00A82368"/>
    <w:rsid w:val="00A858AC"/>
    <w:rsid w:val="00A934AB"/>
    <w:rsid w:val="00A939A6"/>
    <w:rsid w:val="00AA0AC1"/>
    <w:rsid w:val="00AA3E36"/>
    <w:rsid w:val="00AA7002"/>
    <w:rsid w:val="00AC65A3"/>
    <w:rsid w:val="00AD13AB"/>
    <w:rsid w:val="00AD6C7A"/>
    <w:rsid w:val="00AE1E02"/>
    <w:rsid w:val="00AE4BD3"/>
    <w:rsid w:val="00AE4D8C"/>
    <w:rsid w:val="00AE4E42"/>
    <w:rsid w:val="00AE7771"/>
    <w:rsid w:val="00AE78A6"/>
    <w:rsid w:val="00AF4FDC"/>
    <w:rsid w:val="00B00D3C"/>
    <w:rsid w:val="00B01AE5"/>
    <w:rsid w:val="00B02208"/>
    <w:rsid w:val="00B1736F"/>
    <w:rsid w:val="00B27BEE"/>
    <w:rsid w:val="00B33415"/>
    <w:rsid w:val="00B370AA"/>
    <w:rsid w:val="00B377FB"/>
    <w:rsid w:val="00B40B7E"/>
    <w:rsid w:val="00B42C37"/>
    <w:rsid w:val="00B50B7A"/>
    <w:rsid w:val="00B63EB1"/>
    <w:rsid w:val="00B754E6"/>
    <w:rsid w:val="00B9195A"/>
    <w:rsid w:val="00B926B3"/>
    <w:rsid w:val="00B929D1"/>
    <w:rsid w:val="00B93548"/>
    <w:rsid w:val="00BA12B8"/>
    <w:rsid w:val="00BA4C7C"/>
    <w:rsid w:val="00BB4CEF"/>
    <w:rsid w:val="00BB7146"/>
    <w:rsid w:val="00BC1BB6"/>
    <w:rsid w:val="00BD68E7"/>
    <w:rsid w:val="00BE1668"/>
    <w:rsid w:val="00BE2453"/>
    <w:rsid w:val="00BE3851"/>
    <w:rsid w:val="00BE661B"/>
    <w:rsid w:val="00BE778B"/>
    <w:rsid w:val="00BF07F1"/>
    <w:rsid w:val="00BF2E0F"/>
    <w:rsid w:val="00BF3BE1"/>
    <w:rsid w:val="00BF6994"/>
    <w:rsid w:val="00BF7556"/>
    <w:rsid w:val="00C06821"/>
    <w:rsid w:val="00C0715C"/>
    <w:rsid w:val="00C11A76"/>
    <w:rsid w:val="00C1264D"/>
    <w:rsid w:val="00C14DC7"/>
    <w:rsid w:val="00C1545D"/>
    <w:rsid w:val="00C15AE8"/>
    <w:rsid w:val="00C25614"/>
    <w:rsid w:val="00C3591B"/>
    <w:rsid w:val="00C465B5"/>
    <w:rsid w:val="00C57139"/>
    <w:rsid w:val="00C62430"/>
    <w:rsid w:val="00C67E5C"/>
    <w:rsid w:val="00C7282C"/>
    <w:rsid w:val="00C767E0"/>
    <w:rsid w:val="00C84C83"/>
    <w:rsid w:val="00C87D3D"/>
    <w:rsid w:val="00C94D55"/>
    <w:rsid w:val="00CA1631"/>
    <w:rsid w:val="00CA5957"/>
    <w:rsid w:val="00CA6508"/>
    <w:rsid w:val="00CB073D"/>
    <w:rsid w:val="00CB13D4"/>
    <w:rsid w:val="00CB28B0"/>
    <w:rsid w:val="00CB3238"/>
    <w:rsid w:val="00CC1CD2"/>
    <w:rsid w:val="00CC3100"/>
    <w:rsid w:val="00CC40DC"/>
    <w:rsid w:val="00CC480F"/>
    <w:rsid w:val="00CC48E9"/>
    <w:rsid w:val="00CC50BA"/>
    <w:rsid w:val="00CD57E4"/>
    <w:rsid w:val="00CD7F36"/>
    <w:rsid w:val="00CE6AE3"/>
    <w:rsid w:val="00CF00B5"/>
    <w:rsid w:val="00CF0CF7"/>
    <w:rsid w:val="00CF1140"/>
    <w:rsid w:val="00CF75E7"/>
    <w:rsid w:val="00D02557"/>
    <w:rsid w:val="00D05009"/>
    <w:rsid w:val="00D10F2A"/>
    <w:rsid w:val="00D14A4A"/>
    <w:rsid w:val="00D14D3A"/>
    <w:rsid w:val="00D15BB8"/>
    <w:rsid w:val="00D16D92"/>
    <w:rsid w:val="00D23BE8"/>
    <w:rsid w:val="00D33117"/>
    <w:rsid w:val="00D43792"/>
    <w:rsid w:val="00D44CFF"/>
    <w:rsid w:val="00D6058F"/>
    <w:rsid w:val="00D61CD5"/>
    <w:rsid w:val="00D7359D"/>
    <w:rsid w:val="00D75F9A"/>
    <w:rsid w:val="00D84C96"/>
    <w:rsid w:val="00D90B3D"/>
    <w:rsid w:val="00D92017"/>
    <w:rsid w:val="00D923AB"/>
    <w:rsid w:val="00DA004E"/>
    <w:rsid w:val="00DB1CE4"/>
    <w:rsid w:val="00DD287E"/>
    <w:rsid w:val="00DD59CD"/>
    <w:rsid w:val="00DD5DF3"/>
    <w:rsid w:val="00DE67B8"/>
    <w:rsid w:val="00DF644A"/>
    <w:rsid w:val="00E0091E"/>
    <w:rsid w:val="00E02584"/>
    <w:rsid w:val="00E026D1"/>
    <w:rsid w:val="00E07B32"/>
    <w:rsid w:val="00E07BA6"/>
    <w:rsid w:val="00E2500A"/>
    <w:rsid w:val="00E25945"/>
    <w:rsid w:val="00E33225"/>
    <w:rsid w:val="00E34820"/>
    <w:rsid w:val="00E379C6"/>
    <w:rsid w:val="00E40DE6"/>
    <w:rsid w:val="00E42967"/>
    <w:rsid w:val="00E462EF"/>
    <w:rsid w:val="00E72483"/>
    <w:rsid w:val="00E7320A"/>
    <w:rsid w:val="00E73F21"/>
    <w:rsid w:val="00E75215"/>
    <w:rsid w:val="00E8298F"/>
    <w:rsid w:val="00E83185"/>
    <w:rsid w:val="00E83229"/>
    <w:rsid w:val="00E83315"/>
    <w:rsid w:val="00E83810"/>
    <w:rsid w:val="00E863C3"/>
    <w:rsid w:val="00E909FE"/>
    <w:rsid w:val="00E93EE2"/>
    <w:rsid w:val="00E94F80"/>
    <w:rsid w:val="00EA2B8C"/>
    <w:rsid w:val="00EA4346"/>
    <w:rsid w:val="00EB07BE"/>
    <w:rsid w:val="00EB1EBE"/>
    <w:rsid w:val="00EB32BD"/>
    <w:rsid w:val="00EC25F0"/>
    <w:rsid w:val="00EC5EEB"/>
    <w:rsid w:val="00EC5F77"/>
    <w:rsid w:val="00EC67D2"/>
    <w:rsid w:val="00ED25C5"/>
    <w:rsid w:val="00ED6B9D"/>
    <w:rsid w:val="00EF038B"/>
    <w:rsid w:val="00EF4035"/>
    <w:rsid w:val="00EF7EC9"/>
    <w:rsid w:val="00F115F7"/>
    <w:rsid w:val="00F14A71"/>
    <w:rsid w:val="00F2202E"/>
    <w:rsid w:val="00F234C8"/>
    <w:rsid w:val="00F27DB3"/>
    <w:rsid w:val="00F3463D"/>
    <w:rsid w:val="00F409F1"/>
    <w:rsid w:val="00F410F7"/>
    <w:rsid w:val="00F449AC"/>
    <w:rsid w:val="00F454AC"/>
    <w:rsid w:val="00F461A2"/>
    <w:rsid w:val="00F60C17"/>
    <w:rsid w:val="00F62406"/>
    <w:rsid w:val="00F732CF"/>
    <w:rsid w:val="00F7613D"/>
    <w:rsid w:val="00F80CED"/>
    <w:rsid w:val="00F828EC"/>
    <w:rsid w:val="00F8523C"/>
    <w:rsid w:val="00F868DD"/>
    <w:rsid w:val="00F9189D"/>
    <w:rsid w:val="00F933AE"/>
    <w:rsid w:val="00F9528B"/>
    <w:rsid w:val="00F958EA"/>
    <w:rsid w:val="00FA4867"/>
    <w:rsid w:val="00FA58D0"/>
    <w:rsid w:val="00FA7A99"/>
    <w:rsid w:val="00FB5F4A"/>
    <w:rsid w:val="00FC4A97"/>
    <w:rsid w:val="00FD27BA"/>
    <w:rsid w:val="00FD41E1"/>
    <w:rsid w:val="00FD6160"/>
    <w:rsid w:val="00FE3930"/>
    <w:rsid w:val="00FE5DCA"/>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24102F80-EDFA-4A00-9123-1E5262DF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E1E"/>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en-GB"/>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7F23F0"/>
    <w:rPr>
      <w:color w:val="605E5C"/>
      <w:shd w:val="clear" w:color="auto" w:fill="E1DFDD"/>
    </w:rPr>
  </w:style>
  <w:style w:type="paragraph" w:styleId="Textkrper">
    <w:name w:val="Body Text"/>
    <w:basedOn w:val="Standard"/>
    <w:link w:val="TextkrperZchn"/>
    <w:rsid w:val="0096612E"/>
    <w:pPr>
      <w:suppressAutoHyphens/>
      <w:spacing w:after="120"/>
    </w:pPr>
    <w:rPr>
      <w:lang w:eastAsia="ar-SA"/>
    </w:rPr>
  </w:style>
  <w:style w:type="character" w:customStyle="1" w:styleId="TextkrperZchn">
    <w:name w:val="Textkörper Zchn"/>
    <w:basedOn w:val="Absatz-Standardschriftart"/>
    <w:link w:val="Textkrper"/>
    <w:rsid w:val="0096612E"/>
    <w:rPr>
      <w:rFonts w:ascii="Arial" w:hAnsi="Arial"/>
      <w:sz w:val="18"/>
      <w:szCs w:val="22"/>
      <w:lang w:eastAsia="ar-SA"/>
    </w:rPr>
  </w:style>
  <w:style w:type="paragraph" w:styleId="Listenabsatz">
    <w:name w:val="List Paragraph"/>
    <w:basedOn w:val="Standard"/>
    <w:uiPriority w:val="34"/>
    <w:qFormat/>
    <w:rsid w:val="00530360"/>
    <w:pPr>
      <w:ind w:left="720"/>
      <w:contextualSpacing/>
    </w:pPr>
  </w:style>
  <w:style w:type="character" w:styleId="Kommentarzeichen">
    <w:name w:val="annotation reference"/>
    <w:basedOn w:val="Absatz-Standardschriftart"/>
    <w:uiPriority w:val="99"/>
    <w:semiHidden/>
    <w:unhideWhenUsed/>
    <w:rsid w:val="00C25614"/>
    <w:rPr>
      <w:sz w:val="16"/>
      <w:szCs w:val="16"/>
    </w:rPr>
  </w:style>
  <w:style w:type="paragraph" w:styleId="Kommentartext">
    <w:name w:val="annotation text"/>
    <w:basedOn w:val="Standard"/>
    <w:link w:val="KommentartextZchn"/>
    <w:uiPriority w:val="99"/>
    <w:unhideWhenUsed/>
    <w:rsid w:val="00C25614"/>
    <w:pPr>
      <w:spacing w:line="240" w:lineRule="auto"/>
    </w:pPr>
    <w:rPr>
      <w:sz w:val="20"/>
      <w:szCs w:val="20"/>
    </w:rPr>
  </w:style>
  <w:style w:type="character" w:customStyle="1" w:styleId="KommentartextZchn">
    <w:name w:val="Kommentartext Zchn"/>
    <w:basedOn w:val="Absatz-Standardschriftart"/>
    <w:link w:val="Kommentartext"/>
    <w:uiPriority w:val="99"/>
    <w:rsid w:val="00C25614"/>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C25614"/>
    <w:rPr>
      <w:b/>
      <w:bCs/>
    </w:rPr>
  </w:style>
  <w:style w:type="character" w:customStyle="1" w:styleId="KommentarthemaZchn">
    <w:name w:val="Kommentarthema Zchn"/>
    <w:basedOn w:val="KommentartextZchn"/>
    <w:link w:val="Kommentarthema"/>
    <w:uiPriority w:val="99"/>
    <w:semiHidden/>
    <w:rsid w:val="00C25614"/>
    <w:rPr>
      <w:rFonts w:ascii="Arial" w:hAnsi="Arial"/>
      <w:b/>
      <w:bCs/>
      <w:lang w:eastAsia="en-US"/>
    </w:rPr>
  </w:style>
  <w:style w:type="paragraph" w:styleId="StandardWeb">
    <w:name w:val="Normal (Web)"/>
    <w:basedOn w:val="Standard"/>
    <w:uiPriority w:val="99"/>
    <w:semiHidden/>
    <w:unhideWhenUsed/>
    <w:rsid w:val="008E35BB"/>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75215"/>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eco.com/press"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schueco.com/pre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ueco.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64B4-41F8-4262-81E8-0010FB1C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1000</Words>
  <Characters>5855</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6813</CharactersWithSpaces>
  <SharedDoc>false</SharedDoc>
  <HLinks>
    <vt:vector size="30" baseType="variant">
      <vt:variant>
        <vt:i4>7340155</vt:i4>
      </vt:variant>
      <vt:variant>
        <vt:i4>15</vt:i4>
      </vt:variant>
      <vt:variant>
        <vt:i4>0</vt:i4>
      </vt:variant>
      <vt:variant>
        <vt:i4>5</vt:i4>
      </vt:variant>
      <vt:variant>
        <vt:lpwstr>http://www.schueco.de/press</vt:lpwstr>
      </vt:variant>
      <vt:variant>
        <vt:lpwstr/>
      </vt:variant>
      <vt:variant>
        <vt:i4>1376264</vt:i4>
      </vt:variant>
      <vt:variant>
        <vt:i4>12</vt:i4>
      </vt:variant>
      <vt:variant>
        <vt:i4>0</vt:i4>
      </vt:variant>
      <vt:variant>
        <vt:i4>5</vt:i4>
      </vt:variant>
      <vt:variant>
        <vt:lpwstr>http://www.schueco.de/presse</vt:lpwstr>
      </vt:variant>
      <vt:variant>
        <vt:lpwstr/>
      </vt:variant>
      <vt:variant>
        <vt:i4>3407972</vt:i4>
      </vt:variant>
      <vt:variant>
        <vt:i4>9</vt:i4>
      </vt:variant>
      <vt:variant>
        <vt:i4>0</vt:i4>
      </vt:variant>
      <vt:variant>
        <vt:i4>5</vt:i4>
      </vt:variant>
      <vt:variant>
        <vt:lpwstr>http://www.schueco.com/</vt:lpwstr>
      </vt:variant>
      <vt:variant>
        <vt:lpwstr/>
      </vt:variant>
      <vt:variant>
        <vt:i4>7405678</vt:i4>
      </vt:variant>
      <vt:variant>
        <vt:i4>6</vt:i4>
      </vt:variant>
      <vt:variant>
        <vt:i4>0</vt:i4>
      </vt:variant>
      <vt:variant>
        <vt:i4>5</vt:i4>
      </vt:variant>
      <vt:variant>
        <vt:lpwstr>http://www.schueco.de/</vt:lpwstr>
      </vt:variant>
      <vt:variant>
        <vt:lpwstr/>
      </vt:variant>
      <vt:variant>
        <vt:i4>1376264</vt:i4>
      </vt:variant>
      <vt:variant>
        <vt:i4>3</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Minartz, Ute</cp:lastModifiedBy>
  <cp:revision>2</cp:revision>
  <cp:lastPrinted>2019-07-18T15:28:00Z</cp:lastPrinted>
  <dcterms:created xsi:type="dcterms:W3CDTF">2026-06-25T07:42:00Z</dcterms:created>
  <dcterms:modified xsi:type="dcterms:W3CDTF">2026-06-25T07:42:00Z</dcterms:modified>
</cp:coreProperties>
</file>